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 w:after="0" w:line="100" w:lineRule="exact"/>
        <w:rPr>
          <w:sz w:val="10"/>
          <w:szCs w:val="10"/>
        </w:rPr>
      </w:pPr>
    </w:p>
    <w:p>
      <w:pPr>
        <w:spacing w:after="0" w:line="415" w:lineRule="exact"/>
        <w:ind w:left="2989" w:right="-20"/>
        <w:rPr>
          <w:rFonts w:ascii="Microsoft JhengHei" w:hAnsi="Microsoft JhengHei" w:eastAsia="Microsoft JhengHei" w:cs="Microsoft JhengHei"/>
          <w:sz w:val="26"/>
          <w:szCs w:val="26"/>
          <w:lang w:eastAsia="zh-CN"/>
        </w:rPr>
      </w:pPr>
      <w:r>
        <w:rPr>
          <w:rFonts w:ascii="Microsoft JhengHei" w:hAnsi="Microsoft JhengHei" w:eastAsia="Microsoft JhengHei" w:cs="Microsoft JhengHei"/>
          <w:color w:val="595756"/>
          <w:spacing w:val="1"/>
          <w:position w:val="-5"/>
          <w:sz w:val="26"/>
          <w:szCs w:val="26"/>
          <w:lang w:eastAsia="zh-CN"/>
        </w:rPr>
        <w:t>管理体系认证收费</w:t>
      </w:r>
    </w:p>
    <w:p>
      <w:pPr>
        <w:spacing w:after="0" w:line="200" w:lineRule="exact"/>
        <w:rPr>
          <w:sz w:val="20"/>
          <w:szCs w:val="20"/>
          <w:lang w:eastAsia="zh-CN"/>
        </w:rPr>
      </w:pPr>
    </w:p>
    <w:p>
      <w:pPr>
        <w:spacing w:after="0" w:line="360" w:lineRule="auto"/>
        <w:ind w:left="138" w:right="-20" w:firstLine="480" w:firstLineChars="200"/>
        <w:rPr>
          <w:rFonts w:ascii="宋体" w:hAnsi="宋体" w:eastAsia="宋体" w:cs="Microsoft JhengHei"/>
          <w:sz w:val="24"/>
          <w:szCs w:val="24"/>
          <w:lang w:eastAsia="zh-CN"/>
        </w:rPr>
      </w:pPr>
      <w:r>
        <w:rPr>
          <w:rFonts w:ascii="宋体" w:hAnsi="宋体" w:eastAsia="宋体" w:cs="Microsoft JhengHei"/>
          <w:color w:val="595756"/>
          <w:sz w:val="24"/>
          <w:szCs w:val="24"/>
          <w:lang w:eastAsia="zh-CN"/>
        </w:rPr>
        <w:t>1.目的与使用范围</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为加强对认证组织认证收费的管理，规范认证收费行为，保护认证双方的利益，促进认证工作的发展，特制订本规则。本规则适用于</w:t>
      </w:r>
      <w:r>
        <w:rPr>
          <w:rFonts w:hint="eastAsia" w:ascii="宋体" w:hAnsi="宋体" w:eastAsia="宋体" w:cs="Microsoft JhengHei"/>
          <w:color w:val="595756"/>
          <w:spacing w:val="1"/>
          <w:sz w:val="24"/>
          <w:szCs w:val="24"/>
          <w:lang w:val="en-US" w:eastAsia="zh-CN"/>
        </w:rPr>
        <w:t>北京华夏沃土技术</w:t>
      </w:r>
      <w:r>
        <w:rPr>
          <w:rFonts w:ascii="宋体" w:hAnsi="宋体" w:eastAsia="宋体" w:cs="Microsoft JhengHei"/>
          <w:color w:val="595756"/>
          <w:spacing w:val="1"/>
          <w:sz w:val="24"/>
          <w:szCs w:val="24"/>
          <w:lang w:eastAsia="zh-CN"/>
        </w:rPr>
        <w:t>有限公司所开展的管理体系认证服务收费。</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2.基本原则</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收费项目和标准按照国家有关主管部门的规定制订。</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认证审核的工作量（人日数）根据申请认证组织的规模、认证领域数量和专业特性等按国际准则及国家主管部门有关要求确定。</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3.收费项目与标准</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3.1 认证收费项目</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a)申请费：初次认证、再认证、增加认证领域、变更认证范围等的申请费用；</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b)审核费：初审、监督、再认证、特殊审核等审核活动所发生的费用；</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c)批准与注册费（含证书费）：初次认证、再认证、认证变更等的批准与注册费用，按不同认证领域分别收取；</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d)年金（含标志使用费）、更换证书费。</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3.2  收费标准</w:t>
      </w:r>
    </w:p>
    <w:tbl>
      <w:tblPr>
        <w:tblStyle w:val="4"/>
        <w:tblW w:w="0" w:type="auto"/>
        <w:jc w:val="center"/>
        <w:tblLayout w:type="fixed"/>
        <w:tblCellMar>
          <w:top w:w="0" w:type="dxa"/>
          <w:left w:w="0" w:type="dxa"/>
          <w:bottom w:w="0" w:type="dxa"/>
          <w:right w:w="0" w:type="dxa"/>
        </w:tblCellMar>
      </w:tblPr>
      <w:tblGrid>
        <w:gridCol w:w="707"/>
        <w:gridCol w:w="2284"/>
        <w:gridCol w:w="2990"/>
        <w:gridCol w:w="2990"/>
      </w:tblGrid>
      <w:tr>
        <w:tblPrEx>
          <w:tblCellMar>
            <w:top w:w="0" w:type="dxa"/>
            <w:left w:w="0" w:type="dxa"/>
            <w:bottom w:w="0" w:type="dxa"/>
            <w:right w:w="0" w:type="dxa"/>
          </w:tblCellMar>
        </w:tblPrEx>
        <w:trPr>
          <w:trHeight w:val="358" w:hRule="exact"/>
          <w:jc w:val="center"/>
        </w:trPr>
        <w:tc>
          <w:tcPr>
            <w:tcW w:w="707" w:type="dxa"/>
            <w:tcBorders>
              <w:top w:val="single" w:color="000000" w:sz="6" w:space="0"/>
              <w:left w:val="single" w:color="000000" w:sz="6" w:space="0"/>
              <w:bottom w:val="single" w:color="000000" w:sz="6" w:space="0"/>
              <w:right w:val="single" w:color="000000" w:sz="6" w:space="0"/>
            </w:tcBorders>
          </w:tcPr>
          <w:p>
            <w:pPr>
              <w:spacing w:after="0" w:line="360" w:lineRule="auto"/>
              <w:jc w:val="center"/>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序号</w:t>
            </w:r>
          </w:p>
        </w:tc>
        <w:tc>
          <w:tcPr>
            <w:tcW w:w="2284" w:type="dxa"/>
            <w:tcBorders>
              <w:top w:val="single" w:color="000000" w:sz="6" w:space="0"/>
              <w:left w:val="single" w:color="000000" w:sz="6" w:space="0"/>
              <w:bottom w:val="single" w:color="000000" w:sz="6" w:space="0"/>
              <w:right w:val="single" w:color="000000" w:sz="6" w:space="0"/>
            </w:tcBorders>
          </w:tcPr>
          <w:p>
            <w:pPr>
              <w:spacing w:after="0" w:line="360" w:lineRule="auto"/>
              <w:jc w:val="center"/>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收费项目</w:t>
            </w:r>
          </w:p>
        </w:tc>
        <w:tc>
          <w:tcPr>
            <w:tcW w:w="2990" w:type="dxa"/>
            <w:tcBorders>
              <w:top w:val="single" w:color="000000" w:sz="6" w:space="0"/>
              <w:left w:val="single" w:color="000000" w:sz="6" w:space="0"/>
              <w:bottom w:val="single" w:color="000000" w:sz="6" w:space="0"/>
              <w:right w:val="single" w:color="000000" w:sz="6" w:space="0"/>
            </w:tcBorders>
          </w:tcPr>
          <w:p>
            <w:pPr>
              <w:spacing w:after="0" w:line="360" w:lineRule="auto"/>
              <w:ind w:firstLine="29" w:firstLineChars="12"/>
              <w:jc w:val="center"/>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收费标准（单位：元（RMB））</w:t>
            </w:r>
          </w:p>
        </w:tc>
        <w:tc>
          <w:tcPr>
            <w:tcW w:w="2990" w:type="dxa"/>
            <w:tcBorders>
              <w:top w:val="single" w:color="000000" w:sz="6" w:space="0"/>
              <w:left w:val="single" w:color="000000" w:sz="6" w:space="0"/>
              <w:bottom w:val="single" w:color="000000" w:sz="6" w:space="0"/>
              <w:right w:val="single" w:color="000000" w:sz="6" w:space="0"/>
            </w:tcBorders>
          </w:tcPr>
          <w:p>
            <w:pPr>
              <w:spacing w:after="0" w:line="360" w:lineRule="auto"/>
              <w:ind w:firstLine="29" w:firstLineChars="12"/>
              <w:jc w:val="center"/>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备注</w:t>
            </w:r>
          </w:p>
        </w:tc>
      </w:tr>
      <w:tr>
        <w:tblPrEx>
          <w:tblCellMar>
            <w:top w:w="0" w:type="dxa"/>
            <w:left w:w="0" w:type="dxa"/>
            <w:bottom w:w="0" w:type="dxa"/>
            <w:right w:w="0" w:type="dxa"/>
          </w:tblCellMar>
        </w:tblPrEx>
        <w:trPr>
          <w:trHeight w:val="356" w:hRule="exact"/>
          <w:jc w:val="center"/>
        </w:trPr>
        <w:tc>
          <w:tcPr>
            <w:tcW w:w="707" w:type="dxa"/>
            <w:tcBorders>
              <w:top w:val="single" w:color="000000" w:sz="6" w:space="0"/>
              <w:left w:val="single" w:color="000000" w:sz="6" w:space="0"/>
              <w:bottom w:val="single" w:color="000000" w:sz="6" w:space="0"/>
              <w:right w:val="single" w:color="000000" w:sz="6" w:space="0"/>
            </w:tcBorders>
          </w:tcPr>
          <w:p>
            <w:pPr>
              <w:spacing w:after="0" w:line="360" w:lineRule="auto"/>
              <w:jc w:val="center"/>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1</w:t>
            </w:r>
          </w:p>
        </w:tc>
        <w:tc>
          <w:tcPr>
            <w:tcW w:w="2284" w:type="dxa"/>
            <w:tcBorders>
              <w:top w:val="single" w:color="000000" w:sz="6" w:space="0"/>
              <w:left w:val="single" w:color="000000" w:sz="6" w:space="0"/>
              <w:bottom w:val="single" w:color="000000" w:sz="6" w:space="0"/>
              <w:right w:val="single" w:color="000000" w:sz="6" w:space="0"/>
            </w:tcBorders>
          </w:tcPr>
          <w:p>
            <w:pPr>
              <w:spacing w:after="0" w:line="360" w:lineRule="auto"/>
              <w:jc w:val="center"/>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申请费</w:t>
            </w:r>
          </w:p>
        </w:tc>
        <w:tc>
          <w:tcPr>
            <w:tcW w:w="2990" w:type="dxa"/>
            <w:tcBorders>
              <w:top w:val="single" w:color="000000" w:sz="6" w:space="0"/>
              <w:left w:val="single" w:color="000000" w:sz="6" w:space="0"/>
              <w:bottom w:val="single" w:color="000000" w:sz="6" w:space="0"/>
              <w:right w:val="single" w:color="000000" w:sz="6" w:space="0"/>
            </w:tcBorders>
          </w:tcPr>
          <w:p>
            <w:pPr>
              <w:spacing w:after="0" w:line="360" w:lineRule="auto"/>
              <w:ind w:firstLine="29" w:firstLineChars="12"/>
              <w:jc w:val="center"/>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1000×n</w:t>
            </w:r>
          </w:p>
        </w:tc>
        <w:tc>
          <w:tcPr>
            <w:tcW w:w="2990" w:type="dxa"/>
            <w:vMerge w:val="restart"/>
            <w:tcBorders>
              <w:top w:val="single" w:color="000000" w:sz="6" w:space="0"/>
              <w:left w:val="single" w:color="000000" w:sz="6" w:space="0"/>
              <w:right w:val="single" w:color="000000" w:sz="6" w:space="0"/>
            </w:tcBorders>
          </w:tcPr>
          <w:p>
            <w:pPr>
              <w:spacing w:after="0" w:line="240" w:lineRule="auto"/>
              <w:ind w:firstLine="29" w:firstLineChars="12"/>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n 为认证领域数</w:t>
            </w:r>
          </w:p>
          <w:p>
            <w:pPr>
              <w:spacing w:after="0" w:line="240" w:lineRule="auto"/>
              <w:ind w:firstLine="29" w:firstLineChars="12"/>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审核人日数按国家规定执行 证书副本及子证书每张收费50元</w:t>
            </w:r>
            <w:r>
              <w:rPr>
                <w:rFonts w:hint="eastAsia" w:ascii="宋体" w:hAnsi="宋体" w:eastAsia="宋体" w:cs="Microsoft JhengHei"/>
                <w:color w:val="595756"/>
                <w:spacing w:val="1"/>
                <w:sz w:val="24"/>
                <w:szCs w:val="24"/>
                <w:lang w:eastAsia="zh-CN"/>
              </w:rPr>
              <w:t>，</w:t>
            </w:r>
            <w:r>
              <w:rPr>
                <w:rFonts w:ascii="宋体" w:hAnsi="宋体" w:eastAsia="宋体" w:cs="Microsoft JhengHei"/>
                <w:color w:val="595756"/>
                <w:spacing w:val="1"/>
                <w:sz w:val="24"/>
                <w:szCs w:val="24"/>
                <w:lang w:eastAsia="zh-CN"/>
              </w:rPr>
              <w:t>补发证书及证书变更每张收</w:t>
            </w:r>
            <w:r>
              <w:rPr>
                <w:rFonts w:hint="eastAsia" w:ascii="宋体" w:hAnsi="宋体" w:eastAsia="宋体" w:cs="Microsoft JhengHei"/>
                <w:color w:val="595756"/>
                <w:spacing w:val="1"/>
                <w:sz w:val="24"/>
                <w:szCs w:val="24"/>
                <w:lang w:eastAsia="zh-CN"/>
              </w:rPr>
              <w:t>费</w:t>
            </w:r>
            <w:r>
              <w:rPr>
                <w:rFonts w:ascii="宋体" w:hAnsi="宋体" w:eastAsia="宋体" w:cs="Microsoft JhengHei"/>
                <w:color w:val="595756"/>
                <w:spacing w:val="1"/>
                <w:sz w:val="24"/>
                <w:szCs w:val="24"/>
                <w:lang w:eastAsia="zh-CN"/>
              </w:rPr>
              <w:t>60</w:t>
            </w:r>
            <w:r>
              <w:rPr>
                <w:rFonts w:hint="eastAsia" w:ascii="宋体" w:hAnsi="宋体" w:eastAsia="宋体" w:cs="Microsoft JhengHei"/>
                <w:color w:val="595756"/>
                <w:spacing w:val="1"/>
                <w:sz w:val="24"/>
                <w:szCs w:val="24"/>
                <w:lang w:eastAsia="zh-CN"/>
              </w:rPr>
              <w:t>元</w:t>
            </w:r>
          </w:p>
          <w:p>
            <w:pPr>
              <w:spacing w:after="0" w:line="240" w:lineRule="auto"/>
              <w:ind w:firstLine="29" w:firstLineChars="12"/>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年金每年交纳一次</w:t>
            </w:r>
          </w:p>
        </w:tc>
      </w:tr>
      <w:tr>
        <w:tblPrEx>
          <w:tblCellMar>
            <w:top w:w="0" w:type="dxa"/>
            <w:left w:w="0" w:type="dxa"/>
            <w:bottom w:w="0" w:type="dxa"/>
            <w:right w:w="0" w:type="dxa"/>
          </w:tblCellMar>
        </w:tblPrEx>
        <w:trPr>
          <w:trHeight w:val="358" w:hRule="exact"/>
          <w:jc w:val="center"/>
        </w:trPr>
        <w:tc>
          <w:tcPr>
            <w:tcW w:w="707" w:type="dxa"/>
            <w:tcBorders>
              <w:top w:val="single" w:color="000000" w:sz="6" w:space="0"/>
              <w:left w:val="single" w:color="000000" w:sz="6" w:space="0"/>
              <w:bottom w:val="single" w:color="000000" w:sz="6" w:space="0"/>
              <w:right w:val="single" w:color="000000" w:sz="6" w:space="0"/>
            </w:tcBorders>
          </w:tcPr>
          <w:p>
            <w:pPr>
              <w:spacing w:after="0" w:line="360" w:lineRule="auto"/>
              <w:jc w:val="center"/>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2</w:t>
            </w:r>
          </w:p>
        </w:tc>
        <w:tc>
          <w:tcPr>
            <w:tcW w:w="2284" w:type="dxa"/>
            <w:tcBorders>
              <w:top w:val="single" w:color="000000" w:sz="6" w:space="0"/>
              <w:left w:val="single" w:color="000000" w:sz="6" w:space="0"/>
              <w:bottom w:val="single" w:color="000000" w:sz="6" w:space="0"/>
              <w:right w:val="single" w:color="000000" w:sz="6" w:space="0"/>
            </w:tcBorders>
          </w:tcPr>
          <w:p>
            <w:pPr>
              <w:spacing w:after="0" w:line="360" w:lineRule="auto"/>
              <w:ind w:firstLine="29" w:firstLineChars="12"/>
              <w:jc w:val="center"/>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审核费</w:t>
            </w:r>
          </w:p>
        </w:tc>
        <w:tc>
          <w:tcPr>
            <w:tcW w:w="2990" w:type="dxa"/>
            <w:tcBorders>
              <w:top w:val="single" w:color="000000" w:sz="6" w:space="0"/>
              <w:left w:val="single" w:color="000000" w:sz="6" w:space="0"/>
              <w:bottom w:val="single" w:color="000000" w:sz="6" w:space="0"/>
              <w:right w:val="single" w:color="000000" w:sz="6" w:space="0"/>
            </w:tcBorders>
          </w:tcPr>
          <w:p>
            <w:pPr>
              <w:spacing w:after="0" w:line="360" w:lineRule="auto"/>
              <w:ind w:firstLine="29" w:firstLineChars="12"/>
              <w:jc w:val="center"/>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每人日审核费不低于 3000</w:t>
            </w:r>
          </w:p>
        </w:tc>
        <w:tc>
          <w:tcPr>
            <w:tcW w:w="2990" w:type="dxa"/>
            <w:vMerge w:val="continue"/>
            <w:tcBorders>
              <w:left w:val="single" w:color="000000" w:sz="6" w:space="0"/>
              <w:right w:val="single" w:color="000000" w:sz="6" w:space="0"/>
            </w:tcBorders>
          </w:tcPr>
          <w:p>
            <w:pPr>
              <w:spacing w:after="0" w:line="360" w:lineRule="auto"/>
              <w:ind w:left="138" w:right="553" w:firstLine="484" w:firstLineChars="200"/>
              <w:rPr>
                <w:rFonts w:ascii="宋体" w:hAnsi="宋体" w:eastAsia="宋体" w:cs="Microsoft JhengHei"/>
                <w:color w:val="595756"/>
                <w:spacing w:val="1"/>
                <w:sz w:val="24"/>
                <w:szCs w:val="24"/>
                <w:lang w:eastAsia="zh-CN"/>
              </w:rPr>
            </w:pPr>
          </w:p>
        </w:tc>
      </w:tr>
      <w:tr>
        <w:tblPrEx>
          <w:tblCellMar>
            <w:top w:w="0" w:type="dxa"/>
            <w:left w:w="0" w:type="dxa"/>
            <w:bottom w:w="0" w:type="dxa"/>
            <w:right w:w="0" w:type="dxa"/>
          </w:tblCellMar>
        </w:tblPrEx>
        <w:trPr>
          <w:trHeight w:val="668" w:hRule="exact"/>
          <w:jc w:val="center"/>
        </w:trPr>
        <w:tc>
          <w:tcPr>
            <w:tcW w:w="707" w:type="dxa"/>
            <w:tcBorders>
              <w:top w:val="single" w:color="000000" w:sz="6" w:space="0"/>
              <w:left w:val="single" w:color="000000" w:sz="6" w:space="0"/>
              <w:bottom w:val="single" w:color="000000" w:sz="6" w:space="0"/>
              <w:right w:val="single" w:color="000000" w:sz="6" w:space="0"/>
            </w:tcBorders>
          </w:tcPr>
          <w:p>
            <w:pPr>
              <w:spacing w:after="0" w:line="360" w:lineRule="auto"/>
              <w:jc w:val="center"/>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3</w:t>
            </w:r>
          </w:p>
        </w:tc>
        <w:tc>
          <w:tcPr>
            <w:tcW w:w="2284" w:type="dxa"/>
            <w:tcBorders>
              <w:top w:val="single" w:color="000000" w:sz="6" w:space="0"/>
              <w:left w:val="single" w:color="000000" w:sz="6" w:space="0"/>
              <w:bottom w:val="single" w:color="000000" w:sz="6" w:space="0"/>
              <w:right w:val="single" w:color="000000" w:sz="6" w:space="0"/>
            </w:tcBorders>
            <w:vAlign w:val="center"/>
          </w:tcPr>
          <w:p>
            <w:pPr>
              <w:spacing w:after="0" w:line="240" w:lineRule="auto"/>
              <w:jc w:val="center"/>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批准与注册费（含证书费）</w:t>
            </w:r>
          </w:p>
        </w:tc>
        <w:tc>
          <w:tcPr>
            <w:tcW w:w="2990" w:type="dxa"/>
            <w:tcBorders>
              <w:top w:val="single" w:color="000000" w:sz="6" w:space="0"/>
              <w:left w:val="single" w:color="000000" w:sz="6" w:space="0"/>
              <w:bottom w:val="single" w:color="000000" w:sz="6" w:space="0"/>
              <w:right w:val="single" w:color="000000" w:sz="6" w:space="0"/>
            </w:tcBorders>
            <w:vAlign w:val="center"/>
          </w:tcPr>
          <w:p>
            <w:pPr>
              <w:spacing w:after="0" w:line="360" w:lineRule="auto"/>
              <w:ind w:firstLine="29" w:firstLineChars="12"/>
              <w:jc w:val="center"/>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1000×n</w:t>
            </w:r>
          </w:p>
        </w:tc>
        <w:tc>
          <w:tcPr>
            <w:tcW w:w="2990" w:type="dxa"/>
            <w:vMerge w:val="continue"/>
            <w:tcBorders>
              <w:left w:val="single" w:color="000000" w:sz="6" w:space="0"/>
              <w:right w:val="single" w:color="000000" w:sz="6" w:space="0"/>
            </w:tcBorders>
          </w:tcPr>
          <w:p>
            <w:pPr>
              <w:spacing w:after="0" w:line="360" w:lineRule="auto"/>
              <w:ind w:left="138" w:right="553" w:firstLine="484" w:firstLineChars="200"/>
              <w:rPr>
                <w:rFonts w:ascii="宋体" w:hAnsi="宋体" w:eastAsia="宋体" w:cs="Microsoft JhengHei"/>
                <w:color w:val="595756"/>
                <w:spacing w:val="1"/>
                <w:sz w:val="24"/>
                <w:szCs w:val="24"/>
                <w:lang w:eastAsia="zh-CN"/>
              </w:rPr>
            </w:pPr>
          </w:p>
        </w:tc>
      </w:tr>
      <w:tr>
        <w:tblPrEx>
          <w:tblCellMar>
            <w:top w:w="0" w:type="dxa"/>
            <w:left w:w="0" w:type="dxa"/>
            <w:bottom w:w="0" w:type="dxa"/>
            <w:right w:w="0" w:type="dxa"/>
          </w:tblCellMar>
        </w:tblPrEx>
        <w:trPr>
          <w:trHeight w:val="358" w:hRule="exact"/>
          <w:jc w:val="center"/>
        </w:trPr>
        <w:tc>
          <w:tcPr>
            <w:tcW w:w="707" w:type="dxa"/>
            <w:tcBorders>
              <w:top w:val="single" w:color="000000" w:sz="6" w:space="0"/>
              <w:left w:val="single" w:color="000000" w:sz="6" w:space="0"/>
              <w:bottom w:val="single" w:color="000000" w:sz="6" w:space="0"/>
              <w:right w:val="single" w:color="000000" w:sz="6" w:space="0"/>
            </w:tcBorders>
          </w:tcPr>
          <w:p>
            <w:pPr>
              <w:spacing w:after="0" w:line="360" w:lineRule="auto"/>
              <w:jc w:val="center"/>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4</w:t>
            </w:r>
          </w:p>
        </w:tc>
        <w:tc>
          <w:tcPr>
            <w:tcW w:w="2284" w:type="dxa"/>
            <w:tcBorders>
              <w:top w:val="single" w:color="000000" w:sz="6" w:space="0"/>
              <w:left w:val="single" w:color="000000" w:sz="6" w:space="0"/>
              <w:bottom w:val="single" w:color="000000" w:sz="6" w:space="0"/>
              <w:right w:val="single" w:color="000000" w:sz="6" w:space="0"/>
            </w:tcBorders>
          </w:tcPr>
          <w:p>
            <w:pPr>
              <w:spacing w:after="0" w:line="360" w:lineRule="auto"/>
              <w:jc w:val="center"/>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年金（含标志使用费）</w:t>
            </w:r>
          </w:p>
        </w:tc>
        <w:tc>
          <w:tcPr>
            <w:tcW w:w="2990" w:type="dxa"/>
            <w:tcBorders>
              <w:top w:val="single" w:color="000000" w:sz="6" w:space="0"/>
              <w:left w:val="single" w:color="000000" w:sz="6" w:space="0"/>
              <w:bottom w:val="single" w:color="000000" w:sz="6" w:space="0"/>
              <w:right w:val="single" w:color="000000" w:sz="6" w:space="0"/>
            </w:tcBorders>
          </w:tcPr>
          <w:p>
            <w:pPr>
              <w:spacing w:after="0" w:line="360" w:lineRule="auto"/>
              <w:ind w:firstLine="29" w:firstLineChars="12"/>
              <w:jc w:val="center"/>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1000×n</w:t>
            </w:r>
          </w:p>
        </w:tc>
        <w:tc>
          <w:tcPr>
            <w:tcW w:w="2990" w:type="dxa"/>
            <w:vMerge w:val="continue"/>
            <w:tcBorders>
              <w:left w:val="single" w:color="000000" w:sz="6" w:space="0"/>
              <w:right w:val="single" w:color="000000" w:sz="6" w:space="0"/>
            </w:tcBorders>
          </w:tcPr>
          <w:p>
            <w:pPr>
              <w:spacing w:after="0" w:line="360" w:lineRule="auto"/>
              <w:ind w:left="138" w:right="553" w:firstLine="484" w:firstLineChars="200"/>
              <w:rPr>
                <w:rFonts w:ascii="宋体" w:hAnsi="宋体" w:eastAsia="宋体" w:cs="Microsoft JhengHei"/>
                <w:color w:val="595756"/>
                <w:spacing w:val="1"/>
                <w:sz w:val="24"/>
                <w:szCs w:val="24"/>
                <w:lang w:eastAsia="zh-CN"/>
              </w:rPr>
            </w:pPr>
          </w:p>
        </w:tc>
      </w:tr>
      <w:tr>
        <w:tblPrEx>
          <w:tblCellMar>
            <w:top w:w="0" w:type="dxa"/>
            <w:left w:w="0" w:type="dxa"/>
            <w:bottom w:w="0" w:type="dxa"/>
            <w:right w:w="0" w:type="dxa"/>
          </w:tblCellMar>
        </w:tblPrEx>
        <w:trPr>
          <w:trHeight w:val="366" w:hRule="exact"/>
          <w:jc w:val="center"/>
        </w:trPr>
        <w:tc>
          <w:tcPr>
            <w:tcW w:w="707" w:type="dxa"/>
            <w:tcBorders>
              <w:top w:val="single" w:color="000000" w:sz="6" w:space="0"/>
              <w:left w:val="single" w:color="000000" w:sz="6" w:space="0"/>
              <w:bottom w:val="single" w:color="000000" w:sz="6" w:space="0"/>
              <w:right w:val="single" w:color="000000" w:sz="6" w:space="0"/>
            </w:tcBorders>
          </w:tcPr>
          <w:p>
            <w:pPr>
              <w:spacing w:after="0" w:line="360" w:lineRule="auto"/>
              <w:jc w:val="center"/>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5</w:t>
            </w:r>
          </w:p>
        </w:tc>
        <w:tc>
          <w:tcPr>
            <w:tcW w:w="2284" w:type="dxa"/>
            <w:tcBorders>
              <w:top w:val="single" w:color="000000" w:sz="6" w:space="0"/>
              <w:left w:val="single" w:color="000000" w:sz="6" w:space="0"/>
              <w:bottom w:val="single" w:color="000000" w:sz="6" w:space="0"/>
              <w:right w:val="single" w:color="000000" w:sz="6" w:space="0"/>
            </w:tcBorders>
          </w:tcPr>
          <w:p>
            <w:pPr>
              <w:spacing w:after="0" w:line="360" w:lineRule="auto"/>
              <w:jc w:val="center"/>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（监督）审核费</w:t>
            </w:r>
          </w:p>
        </w:tc>
        <w:tc>
          <w:tcPr>
            <w:tcW w:w="2990" w:type="dxa"/>
            <w:tcBorders>
              <w:top w:val="single" w:color="000000" w:sz="6" w:space="0"/>
              <w:left w:val="single" w:color="000000" w:sz="6" w:space="0"/>
              <w:bottom w:val="single" w:color="000000" w:sz="6" w:space="0"/>
              <w:right w:val="single" w:color="000000" w:sz="6" w:space="0"/>
            </w:tcBorders>
          </w:tcPr>
          <w:p>
            <w:pPr>
              <w:spacing w:after="0" w:line="240" w:lineRule="auto"/>
              <w:ind w:firstLine="29" w:firstLineChars="12"/>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每人日审核费不低于 3000</w:t>
            </w:r>
          </w:p>
        </w:tc>
        <w:tc>
          <w:tcPr>
            <w:tcW w:w="2990" w:type="dxa"/>
            <w:vMerge w:val="continue"/>
            <w:tcBorders>
              <w:left w:val="single" w:color="000000" w:sz="6" w:space="0"/>
              <w:bottom w:val="single" w:color="000000" w:sz="6" w:space="0"/>
              <w:right w:val="single" w:color="000000" w:sz="6" w:space="0"/>
            </w:tcBorders>
          </w:tcPr>
          <w:p>
            <w:pPr>
              <w:spacing w:after="0" w:line="360" w:lineRule="auto"/>
              <w:jc w:val="center"/>
              <w:rPr>
                <w:rFonts w:ascii="宋体" w:hAnsi="宋体" w:eastAsia="宋体" w:cs="Microsoft JhengHei"/>
                <w:color w:val="595756"/>
                <w:spacing w:val="1"/>
                <w:sz w:val="24"/>
                <w:szCs w:val="24"/>
                <w:lang w:eastAsia="zh-CN"/>
              </w:rPr>
            </w:pPr>
          </w:p>
        </w:tc>
      </w:tr>
    </w:tbl>
    <w:p>
      <w:pPr>
        <w:spacing w:after="0" w:line="240" w:lineRule="auto"/>
        <w:ind w:left="-10" w:leftChars="-62" w:right="553" w:hanging="126" w:hangingChars="57"/>
        <w:rPr>
          <w:rFonts w:ascii="宋体" w:hAnsi="宋体" w:eastAsia="宋体" w:cs="Microsoft JhengHei"/>
          <w:color w:val="595756"/>
          <w:spacing w:val="1"/>
          <w:lang w:eastAsia="zh-CN"/>
        </w:rPr>
      </w:pPr>
      <w:r>
        <w:rPr>
          <w:rFonts w:ascii="宋体" w:hAnsi="宋体" w:eastAsia="宋体" w:cs="Microsoft JhengHei"/>
          <w:color w:val="595756"/>
          <w:spacing w:val="1"/>
          <w:lang w:eastAsia="zh-CN"/>
        </w:rPr>
        <w:t>注：1.人日数是指认证审核所需的工作人天数（即审核员人数×工作天数）</w:t>
      </w:r>
    </w:p>
    <w:p>
      <w:pPr>
        <w:spacing w:after="0" w:line="240" w:lineRule="auto"/>
        <w:ind w:left="-136" w:leftChars="-62" w:right="553" w:firstLine="444" w:firstLineChars="200"/>
        <w:rPr>
          <w:rFonts w:ascii="宋体" w:hAnsi="宋体" w:eastAsia="宋体" w:cs="Microsoft JhengHei"/>
          <w:color w:val="595756"/>
          <w:spacing w:val="1"/>
          <w:lang w:eastAsia="zh-CN"/>
        </w:rPr>
      </w:pPr>
      <w:r>
        <w:rPr>
          <w:rFonts w:ascii="宋体" w:hAnsi="宋体" w:eastAsia="宋体" w:cs="Microsoft JhengHei"/>
          <w:color w:val="595756"/>
          <w:spacing w:val="1"/>
          <w:lang w:eastAsia="zh-CN"/>
        </w:rPr>
        <w:t>2.具体收费以合同价为准。</w:t>
      </w:r>
    </w:p>
    <w:p>
      <w:pPr>
        <w:spacing w:after="0" w:line="360" w:lineRule="auto"/>
        <w:ind w:left="138" w:right="553" w:firstLine="484" w:firstLineChars="200"/>
        <w:rPr>
          <w:rFonts w:ascii="宋体" w:hAnsi="宋体" w:eastAsia="宋体" w:cs="Microsoft JhengHei"/>
          <w:color w:val="595756"/>
          <w:spacing w:val="1"/>
          <w:sz w:val="24"/>
          <w:szCs w:val="24"/>
          <w:lang w:eastAsia="zh-CN"/>
        </w:rPr>
      </w:pP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4 收费方法</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a)申请人向 CHCC 提出认证申请时支付申请费。审核前支付审核费。颁发认证证书前支付批准注册费。</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b)  获证组织在交付监督审核费的同时支付年金。</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c)  更换证书费在领取新证书前支付。</w:t>
      </w:r>
      <w:bookmarkStart w:id="0" w:name="_GoBack"/>
      <w:bookmarkEnd w:id="0"/>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5 审核人日数核算方法</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5.1  单一领域管理体系认证</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管理体系审核人日数与审核范围内的有效人数、审核类型（初审、监督、再认证、特殊审核等）、业务范围类型和场所数量与类型等因素相关。人日数包括文件评 审、审核准备、现场审核和最终报告等时间；不包括路途时间。</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5.2  多领域管理体系结合认证</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对于多领域管理体系结合认证，审核人日数可在单一领域管理体系审核人日数之和的基础上适当减少，通常考虑管理体系领域数量并按实际发生的审核人日数计算。</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5.3  增加认证领域审核</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获证组织已经获得 CHCC 某领域认证以后提出其它认证领域的申请，应按该领域的审核人日数计算费用。</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5.4  扩大认证业务范围审核</w:t>
      </w:r>
    </w:p>
    <w:p>
      <w:pPr>
        <w:spacing w:after="0" w:line="360" w:lineRule="auto"/>
        <w:ind w:left="138" w:right="553" w:firstLine="484" w:firstLineChars="200"/>
        <w:rPr>
          <w:rFonts w:ascii="宋体" w:hAnsi="宋体" w:eastAsia="宋体" w:cs="Microsoft JhengHei"/>
          <w:color w:val="595756"/>
          <w:spacing w:val="1"/>
          <w:sz w:val="24"/>
          <w:szCs w:val="24"/>
          <w:lang w:eastAsia="zh-CN"/>
        </w:rPr>
      </w:pPr>
      <w:r>
        <w:rPr>
          <w:rFonts w:ascii="宋体" w:hAnsi="宋体" w:eastAsia="宋体" w:cs="Microsoft JhengHei"/>
          <w:color w:val="595756"/>
          <w:spacing w:val="1"/>
          <w:sz w:val="24"/>
          <w:szCs w:val="24"/>
          <w:lang w:eastAsia="zh-CN"/>
        </w:rPr>
        <w:t>获证组织在已取得的管理体系认证的领域扩大范围，根据实际发生的审核工作量计算。</w:t>
      </w:r>
    </w:p>
    <w:p>
      <w:pPr>
        <w:spacing w:after="0" w:line="360" w:lineRule="auto"/>
        <w:ind w:left="138" w:right="553" w:firstLine="484" w:firstLineChars="200"/>
        <w:rPr>
          <w:rFonts w:ascii="宋体" w:hAnsi="宋体" w:eastAsia="宋体" w:cs="Microsoft JhengHei"/>
          <w:color w:val="595756"/>
          <w:spacing w:val="1"/>
          <w:sz w:val="24"/>
          <w:szCs w:val="24"/>
          <w:lang w:eastAsia="zh-CN"/>
        </w:rPr>
      </w:pPr>
    </w:p>
    <w:p>
      <w:pPr>
        <w:spacing w:after="0" w:line="360" w:lineRule="auto"/>
        <w:ind w:left="138" w:right="553" w:firstLine="484" w:firstLineChars="200"/>
        <w:rPr>
          <w:rFonts w:ascii="宋体" w:hAnsi="宋体" w:eastAsia="宋体" w:cs="Microsoft JhengHei"/>
          <w:color w:val="595756"/>
          <w:spacing w:val="1"/>
          <w:sz w:val="24"/>
          <w:szCs w:val="24"/>
          <w:lang w:eastAsia="zh-CN"/>
        </w:rPr>
      </w:pPr>
    </w:p>
    <w:sectPr>
      <w:headerReference r:id="rId5" w:type="default"/>
      <w:pgSz w:w="11920" w:h="16840"/>
      <w:pgMar w:top="1418" w:right="1418" w:bottom="1134" w:left="1418"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rPr>
        <w:rFonts w:hint="eastAsia" w:eastAsiaTheme="minorEastAsia"/>
        <w:lang w:eastAsia="zh-CN"/>
      </w:rPr>
    </w:pPr>
    <w:r>
      <w:rPr>
        <w:rFonts w:hint="eastAsia" w:eastAsiaTheme="minorEastAsia"/>
        <w:lang w:eastAsia="zh-CN"/>
      </w:rPr>
      <w:drawing>
        <wp:inline distT="0" distB="0" distL="114300" distR="114300">
          <wp:extent cx="939800" cy="831850"/>
          <wp:effectExtent l="0" t="0" r="0" b="6350"/>
          <wp:docPr id="1" name="图片 1" descr="f1e274e5f1df79459a1a1421a8b91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1e274e5f1df79459a1a1421a8b91ca"/>
                  <pic:cNvPicPr>
                    <a:picLocks noChangeAspect="1"/>
                  </pic:cNvPicPr>
                </pic:nvPicPr>
                <pic:blipFill>
                  <a:blip r:embed="rId1"/>
                  <a:stretch>
                    <a:fillRect/>
                  </a:stretch>
                </pic:blipFill>
                <pic:spPr>
                  <a:xfrm>
                    <a:off x="0" y="0"/>
                    <a:ext cx="939800" cy="83185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E2MWFjNDhkYTVhMjg5YzQwMjBmMzI1ODllZWM5YTQifQ=="/>
  </w:docVars>
  <w:rsids>
    <w:rsidRoot w:val="00215202"/>
    <w:rsid w:val="00215202"/>
    <w:rsid w:val="00721A25"/>
    <w:rsid w:val="0092538A"/>
    <w:rsid w:val="009353CA"/>
    <w:rsid w:val="00ED6F4D"/>
    <w:rsid w:val="317A02F9"/>
    <w:rsid w:val="5B5A5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pPr>
    <w:rPr>
      <w:rFonts w:asciiTheme="minorHAnsi" w:hAnsiTheme="minorHAnsi" w:eastAsiaTheme="minorEastAsia" w:cstheme="minorBidi"/>
      <w:sz w:val="22"/>
      <w:szCs w:val="22"/>
      <w:lang w:val="en-US" w:eastAsia="en-US"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spacing w:line="240" w:lineRule="auto"/>
    </w:pPr>
    <w:rPr>
      <w:sz w:val="18"/>
      <w:szCs w:val="18"/>
    </w:rPr>
  </w:style>
  <w:style w:type="paragraph" w:styleId="3">
    <w:name w:val="header"/>
    <w:basedOn w:val="1"/>
    <w:link w:val="6"/>
    <w:unhideWhenUsed/>
    <w:qFormat/>
    <w:uiPriority w:val="99"/>
    <w:pPr>
      <w:tabs>
        <w:tab w:val="center" w:pos="4153"/>
        <w:tab w:val="right" w:pos="8306"/>
      </w:tabs>
      <w:snapToGrid w:val="0"/>
      <w:spacing w:line="240" w:lineRule="auto"/>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160</Words>
  <Characters>912</Characters>
  <Lines>7</Lines>
  <Paragraphs>2</Paragraphs>
  <TotalTime>5</TotalTime>
  <ScaleCrop>false</ScaleCrop>
  <LinksUpToDate>false</LinksUpToDate>
  <CharactersWithSpaces>1070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2023-08-11T02:04:00Z</dcterms:created>
  <dc:creator>Administrator</dc:creator>
  <cp:lastModifiedBy>WPS_1639974277</cp:lastModifiedBy>
  <dcterms:modified xsi:type="dcterms:W3CDTF">2023-08-21T06:35:50Z</dcterms:modified>
  <dc:title>&lt;4D6963726F736F667420576F7264202D20C8CFD6A4CAD5B7D1B9DCC0EDB0ECB7A8A3A8435443A3A9&gt;</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2022-03-02T00:00:00Z</vt:filetime>
  </property>
  <property fmtid="{D5CDD505-2E9C-101B-9397-08002B2CF9AE}" pid="3" name="LastSaved">
    <vt:filetime>2023-08-11T00:00:00Z</vt:filetime>
  </property>
  <property fmtid="{D5CDD505-2E9C-101B-9397-08002B2CF9AE}" pid="4" name="KSOProductBuildVer">
    <vt:lpwstr>2052-12.1.0.15120</vt:lpwstr>
  </property>
  <property fmtid="{D5CDD505-2E9C-101B-9397-08002B2CF9AE}" pid="5" name="ICV">
    <vt:lpwstr>67FB8C4907B64FBA9CFFB2EFC99BC584_12</vt:lpwstr>
  </property>
</Properties>
</file>